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DI </w:t>
      </w:r>
      <w:r>
        <w:rPr>
          <w:rFonts w:ascii="Times New Roman" w:hAnsi="Times New Roman" w:cs="Times New Roman"/>
          <w:b/>
          <w:sz w:val="24"/>
          <w:szCs w:val="24"/>
        </w:rPr>
        <w:t>LETTERATURA LATINA</w:t>
      </w:r>
      <w:r>
        <w:rPr>
          <w:rFonts w:ascii="Times New Roman" w:hAnsi="Times New Roman" w:cs="Times New Roman"/>
          <w:sz w:val="24"/>
          <w:szCs w:val="24"/>
        </w:rPr>
        <w:t xml:space="preserve">  CLASSE 5 B   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2018-2019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Chiara Bonacci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di riferimento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Canali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A. Cucchiarelli, S. Monda, </w:t>
      </w:r>
      <w:r>
        <w:rPr>
          <w:rFonts w:ascii="Times New Roman" w:hAnsi="Times New Roman" w:cs="Times New Roman"/>
          <w:i/>
          <w:sz w:val="24"/>
          <w:szCs w:val="24"/>
        </w:rPr>
        <w:t>Ingenium et ars</w:t>
      </w:r>
      <w:r>
        <w:rPr>
          <w:rFonts w:ascii="Times New Roman" w:hAnsi="Times New Roman" w:cs="Times New Roman"/>
          <w:sz w:val="24"/>
          <w:szCs w:val="24"/>
        </w:rPr>
        <w:t>, L’età imperiale,  volume 3, Einaudi Scuola.</w:t>
      </w: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SENECA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prosa filosofica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tragedie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’Apokolokyntosis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lingua e lo stile 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Il tempo della vita e quello della morte 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 brevitate vitae</w:t>
      </w:r>
      <w:r>
        <w:rPr>
          <w:rFonts w:ascii="Times New Roman" w:hAnsi="Times New Roman" w:cs="Times New Roman"/>
          <w:sz w:val="24"/>
          <w:szCs w:val="24"/>
        </w:rPr>
        <w:t xml:space="preserve"> I,1-4 (in fotocopia latino-italiano)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Epistulae ad Lucilium</w:t>
      </w:r>
      <w:r>
        <w:rPr>
          <w:rFonts w:ascii="Times New Roman" w:hAnsi="Times New Roman" w:cs="Times New Roman"/>
          <w:sz w:val="24"/>
          <w:szCs w:val="24"/>
        </w:rPr>
        <w:t>,1, 1-3 (in fotocopia latino-italiano)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valore del tempo (</w:t>
      </w:r>
      <w:r>
        <w:rPr>
          <w:rFonts w:ascii="Times New Roman" w:hAnsi="Times New Roman" w:cs="Times New Roman"/>
          <w:i/>
          <w:sz w:val="24"/>
          <w:szCs w:val="24"/>
        </w:rPr>
        <w:t>De brevitate vitae</w:t>
      </w:r>
      <w:r>
        <w:rPr>
          <w:rFonts w:ascii="Times New Roman" w:hAnsi="Times New Roman" w:cs="Times New Roman"/>
          <w:sz w:val="24"/>
          <w:szCs w:val="24"/>
        </w:rPr>
        <w:t xml:space="preserve"> 8 ) 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 saggio stoico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regola del saggio: </w:t>
      </w:r>
      <w:r>
        <w:rPr>
          <w:rFonts w:ascii="Times New Roman" w:hAnsi="Times New Roman" w:cs="Times New Roman"/>
          <w:i/>
          <w:sz w:val="24"/>
          <w:szCs w:val="24"/>
        </w:rPr>
        <w:t>miscere otium in rebus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 tranquillitate animi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4-5) 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L’otium e il negotium (</w:t>
      </w:r>
      <w:r>
        <w:rPr>
          <w:rFonts w:ascii="Times New Roman" w:hAnsi="Times New Roman" w:cs="Times New Roman"/>
          <w:i/>
          <w:sz w:val="24"/>
          <w:szCs w:val="24"/>
        </w:rPr>
        <w:t>De otio</w:t>
      </w:r>
      <w:r>
        <w:rPr>
          <w:rFonts w:ascii="Times New Roman" w:hAnsi="Times New Roman" w:cs="Times New Roman"/>
          <w:sz w:val="24"/>
          <w:szCs w:val="24"/>
        </w:rPr>
        <w:t xml:space="preserve"> 3,2-4,2) fotocopia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Servi sunt”.Immo homines</w:t>
      </w:r>
      <w:r>
        <w:rPr>
          <w:rFonts w:ascii="Times New Roman" w:hAnsi="Times New Roman" w:cs="Times New Roman"/>
          <w:sz w:val="24"/>
          <w:szCs w:val="24"/>
        </w:rPr>
        <w:t>: l’deale egualitario del saggio stoico (</w:t>
      </w:r>
      <w:r>
        <w:rPr>
          <w:rFonts w:ascii="Times New Roman" w:hAnsi="Times New Roman" w:cs="Times New Roman"/>
          <w:i/>
          <w:sz w:val="24"/>
          <w:szCs w:val="24"/>
        </w:rPr>
        <w:t>Epistulae ad Lucilium</w:t>
      </w:r>
      <w:r>
        <w:rPr>
          <w:rFonts w:ascii="Times New Roman" w:hAnsi="Times New Roman" w:cs="Times New Roman"/>
          <w:sz w:val="24"/>
          <w:szCs w:val="24"/>
        </w:rPr>
        <w:t>, 47, 1-4) latino-italiano</w:t>
      </w: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LUCANO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vita. 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L’opera. 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i/>
          <w:sz w:val="24"/>
          <w:szCs w:val="24"/>
        </w:rPr>
        <w:t>Pharsalia</w:t>
      </w:r>
      <w:r>
        <w:rPr>
          <w:rFonts w:ascii="Times New Roman" w:hAnsi="Times New Roman" w:cs="Times New Roman"/>
          <w:sz w:val="24"/>
          <w:szCs w:val="24"/>
        </w:rPr>
        <w:t xml:space="preserve"> tra </w:t>
      </w:r>
      <w:r>
        <w:rPr>
          <w:rFonts w:ascii="Times New Roman" w:hAnsi="Times New Roman" w:cs="Times New Roman"/>
          <w:i/>
          <w:sz w:val="24"/>
          <w:szCs w:val="24"/>
        </w:rPr>
        <w:t>epos</w:t>
      </w:r>
      <w:r>
        <w:rPr>
          <w:rFonts w:ascii="Times New Roman" w:hAnsi="Times New Roman" w:cs="Times New Roman"/>
          <w:sz w:val="24"/>
          <w:szCs w:val="24"/>
        </w:rPr>
        <w:t xml:space="preserve"> e storia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e la lingua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Protasi ed elogio di Nerone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Protasi ed elogio di Nerone (</w:t>
      </w:r>
      <w:r>
        <w:rPr>
          <w:rFonts w:ascii="Times New Roman" w:hAnsi="Times New Roman" w:cs="Times New Roman"/>
          <w:i/>
          <w:sz w:val="24"/>
          <w:szCs w:val="24"/>
        </w:rPr>
        <w:t>Bellum civile</w:t>
      </w:r>
      <w:r>
        <w:rPr>
          <w:rFonts w:ascii="Times New Roman" w:hAnsi="Times New Roman" w:cs="Times New Roman"/>
          <w:sz w:val="24"/>
          <w:szCs w:val="24"/>
        </w:rPr>
        <w:t xml:space="preserve"> I, vv.1-66).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L’evocazione dei morti (</w:t>
      </w:r>
      <w:r>
        <w:rPr>
          <w:rFonts w:ascii="Times New Roman" w:hAnsi="Times New Roman" w:cs="Times New Roman"/>
          <w:i/>
          <w:sz w:val="24"/>
          <w:szCs w:val="24"/>
        </w:rPr>
        <w:t>Bellum civile</w:t>
      </w:r>
      <w:r>
        <w:rPr>
          <w:rFonts w:ascii="Times New Roman" w:hAnsi="Times New Roman" w:cs="Times New Roman"/>
          <w:sz w:val="24"/>
          <w:szCs w:val="24"/>
        </w:rPr>
        <w:t xml:space="preserve"> VI, vv 681-755).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PETRONIO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L’opera 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genere letterario del </w:t>
      </w:r>
      <w:r>
        <w:rPr>
          <w:rFonts w:ascii="Times New Roman" w:hAnsi="Times New Roman" w:cs="Times New Roman"/>
          <w:i/>
          <w:sz w:val="24"/>
          <w:szCs w:val="24"/>
        </w:rPr>
        <w:t>Satyricon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romanzo greco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cena di Trimalchione: un saggio di letteratura realistica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 stile e la lingua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fortuna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 liberto come Trimalchione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sepolcro di Trimalchione  (</w:t>
      </w:r>
      <w:r>
        <w:rPr>
          <w:rFonts w:ascii="Times New Roman" w:hAnsi="Times New Roman" w:cs="Times New Roman"/>
          <w:i/>
          <w:sz w:val="24"/>
          <w:szCs w:val="24"/>
        </w:rPr>
        <w:t>Satyricon</w:t>
      </w:r>
      <w:r>
        <w:rPr>
          <w:rFonts w:ascii="Times New Roman" w:hAnsi="Times New Roman" w:cs="Times New Roman"/>
          <w:sz w:val="24"/>
          <w:szCs w:val="24"/>
        </w:rPr>
        <w:t xml:space="preserve"> 71-72 )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Trimalchione entra in scena (</w:t>
      </w:r>
      <w:r>
        <w:rPr>
          <w:rFonts w:ascii="Times New Roman" w:hAnsi="Times New Roman" w:cs="Times New Roman"/>
          <w:i/>
          <w:sz w:val="24"/>
          <w:szCs w:val="24"/>
        </w:rPr>
        <w:t>Satyricon</w:t>
      </w:r>
      <w:r>
        <w:rPr>
          <w:rFonts w:ascii="Times New Roman" w:hAnsi="Times New Roman" w:cs="Times New Roman"/>
          <w:sz w:val="24"/>
          <w:szCs w:val="24"/>
        </w:rPr>
        <w:t xml:space="preserve"> 32-33)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 un genere all’altro.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Varietas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 parodia nel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Satyricon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novella delle streghe (</w:t>
      </w:r>
      <w:r>
        <w:rPr>
          <w:rFonts w:ascii="Times New Roman" w:hAnsi="Times New Roman" w:cs="Times New Roman"/>
          <w:i/>
          <w:sz w:val="24"/>
          <w:szCs w:val="24"/>
        </w:rPr>
        <w:t>Satyricon</w:t>
      </w:r>
      <w:r>
        <w:rPr>
          <w:rFonts w:ascii="Times New Roman" w:hAnsi="Times New Roman" w:cs="Times New Roman"/>
          <w:sz w:val="24"/>
          <w:szCs w:val="24"/>
        </w:rPr>
        <w:t xml:space="preserve"> 63,3-64,1 )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matrona di Efeso: una fabula milesia (</w:t>
      </w:r>
      <w:r>
        <w:rPr>
          <w:rFonts w:ascii="Times New Roman" w:hAnsi="Times New Roman" w:cs="Times New Roman"/>
          <w:i/>
          <w:sz w:val="24"/>
          <w:szCs w:val="24"/>
        </w:rPr>
        <w:t>Satyricon</w:t>
      </w:r>
      <w:r>
        <w:rPr>
          <w:rFonts w:ascii="Times New Roman" w:hAnsi="Times New Roman" w:cs="Times New Roman"/>
          <w:sz w:val="24"/>
          <w:szCs w:val="24"/>
        </w:rPr>
        <w:t xml:space="preserve"> 111-112  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novella del lupo mannaro ( </w:t>
      </w:r>
      <w:r>
        <w:rPr>
          <w:rFonts w:ascii="Times New Roman" w:hAnsi="Times New Roman" w:cs="Times New Roman"/>
          <w:i/>
          <w:sz w:val="24"/>
          <w:szCs w:val="24"/>
        </w:rPr>
        <w:t>Satyricon</w:t>
      </w:r>
      <w:r>
        <w:rPr>
          <w:rFonts w:ascii="Times New Roman" w:hAnsi="Times New Roman" w:cs="Times New Roman"/>
          <w:sz w:val="24"/>
          <w:szCs w:val="24"/>
        </w:rPr>
        <w:t xml:space="preserve"> 61-62 in fotocopia ) 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APULEIO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L’opera: le opere perdute e quelle frammentarie; le opere filosofiche; le opere retoriche: i </w:t>
      </w:r>
      <w:r>
        <w:rPr>
          <w:rFonts w:ascii="Times New Roman" w:hAnsi="Times New Roman" w:cs="Times New Roman"/>
          <w:i/>
          <w:sz w:val="24"/>
          <w:szCs w:val="24"/>
        </w:rPr>
        <w:t>Florida</w:t>
      </w:r>
      <w:r>
        <w:rPr>
          <w:rFonts w:ascii="Times New Roman" w:hAnsi="Times New Roman" w:cs="Times New Roman"/>
          <w:sz w:val="24"/>
          <w:szCs w:val="24"/>
        </w:rPr>
        <w:t xml:space="preserve"> e il </w:t>
      </w:r>
      <w:r>
        <w:rPr>
          <w:rFonts w:ascii="Times New Roman" w:hAnsi="Times New Roman" w:cs="Times New Roman"/>
          <w:i/>
          <w:sz w:val="24"/>
          <w:szCs w:val="24"/>
        </w:rPr>
        <w:t>De magia</w:t>
      </w:r>
      <w:r>
        <w:rPr>
          <w:rFonts w:ascii="Times New Roman" w:hAnsi="Times New Roman" w:cs="Times New Roman"/>
          <w:sz w:val="24"/>
          <w:szCs w:val="24"/>
        </w:rPr>
        <w:t xml:space="preserve">; le </w:t>
      </w:r>
      <w:r>
        <w:rPr>
          <w:rFonts w:ascii="Times New Roman" w:hAnsi="Times New Roman" w:cs="Times New Roman"/>
          <w:i/>
          <w:sz w:val="24"/>
          <w:szCs w:val="24"/>
        </w:rPr>
        <w:t>Metamorfos</w:t>
      </w:r>
      <w:r>
        <w:rPr>
          <w:rFonts w:ascii="Times New Roman" w:hAnsi="Times New Roman" w:cs="Times New Roman"/>
          <w:sz w:val="24"/>
          <w:szCs w:val="24"/>
        </w:rPr>
        <w:t xml:space="preserve">i o </w:t>
      </w:r>
      <w:r>
        <w:rPr>
          <w:rFonts w:ascii="Times New Roman" w:hAnsi="Times New Roman" w:cs="Times New Roman"/>
          <w:i/>
          <w:sz w:val="24"/>
          <w:szCs w:val="24"/>
        </w:rPr>
        <w:t>l’Asino d’oro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genere letteraio delle Metamorfosi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romanzo erotico greco e le </w:t>
      </w:r>
      <w:r>
        <w:rPr>
          <w:rFonts w:ascii="Times New Roman" w:hAnsi="Times New Roman" w:cs="Times New Roman"/>
          <w:i/>
          <w:sz w:val="24"/>
          <w:szCs w:val="24"/>
        </w:rPr>
        <w:t>Metamorfosi</w:t>
      </w:r>
      <w:r>
        <w:rPr>
          <w:rFonts w:ascii="Times New Roman" w:hAnsi="Times New Roman" w:cs="Times New Roman"/>
          <w:sz w:val="24"/>
          <w:szCs w:val="24"/>
        </w:rPr>
        <w:t xml:space="preserve"> di Apuleio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lingua e lo stile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Apuleio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metamorfosi tra misticismo e diletto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proemio del romanzo e la sua funzione programmatica (</w:t>
      </w:r>
      <w:r>
        <w:rPr>
          <w:rFonts w:ascii="Times New Roman" w:hAnsi="Times New Roman" w:cs="Times New Roman"/>
          <w:i/>
          <w:sz w:val="24"/>
          <w:szCs w:val="24"/>
        </w:rPr>
        <w:t>Metamorphoseon</w:t>
      </w:r>
      <w:r>
        <w:rPr>
          <w:rFonts w:ascii="Times New Roman" w:hAnsi="Times New Roman" w:cs="Times New Roman"/>
          <w:sz w:val="24"/>
          <w:szCs w:val="24"/>
        </w:rPr>
        <w:t xml:space="preserve"> I,1)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Psiche , fanciulla bellissima e fiabesca (</w:t>
      </w:r>
      <w:r>
        <w:rPr>
          <w:rFonts w:ascii="Times New Roman" w:hAnsi="Times New Roman" w:cs="Times New Roman"/>
          <w:i/>
          <w:sz w:val="24"/>
          <w:szCs w:val="24"/>
        </w:rPr>
        <w:t>Metamorphoseon</w:t>
      </w:r>
      <w:r>
        <w:rPr>
          <w:rFonts w:ascii="Times New Roman" w:hAnsi="Times New Roman" w:cs="Times New Roman"/>
          <w:sz w:val="24"/>
          <w:szCs w:val="24"/>
        </w:rPr>
        <w:t xml:space="preserve"> IV, 28 -31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vicenda di Lucio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metamorfosi di Lucio (</w:t>
      </w:r>
      <w:r>
        <w:rPr>
          <w:rFonts w:ascii="Times New Roman" w:hAnsi="Times New Roman" w:cs="Times New Roman"/>
          <w:i/>
          <w:sz w:val="24"/>
          <w:szCs w:val="24"/>
        </w:rPr>
        <w:t xml:space="preserve">Metamorphoseon </w:t>
      </w:r>
      <w:r>
        <w:rPr>
          <w:rFonts w:ascii="Times New Roman" w:hAnsi="Times New Roman" w:cs="Times New Roman"/>
          <w:sz w:val="24"/>
          <w:szCs w:val="24"/>
        </w:rPr>
        <w:t>III, 23-26)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L’epifania di Iside (</w:t>
      </w:r>
      <w:r>
        <w:rPr>
          <w:rFonts w:ascii="Times New Roman" w:hAnsi="Times New Roman" w:cs="Times New Roman"/>
          <w:i/>
          <w:sz w:val="24"/>
          <w:szCs w:val="24"/>
        </w:rPr>
        <w:t>Metamorphoseon</w:t>
      </w:r>
      <w:r>
        <w:rPr>
          <w:rFonts w:ascii="Times New Roman" w:hAnsi="Times New Roman" w:cs="Times New Roman"/>
          <w:sz w:val="24"/>
          <w:szCs w:val="24"/>
        </w:rPr>
        <w:t xml:space="preserve"> IX, 2-4)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L’asino torna a d essere uomo (</w:t>
      </w:r>
      <w:r>
        <w:rPr>
          <w:rFonts w:ascii="Times New Roman" w:hAnsi="Times New Roman" w:cs="Times New Roman"/>
          <w:i/>
          <w:sz w:val="24"/>
          <w:szCs w:val="24"/>
        </w:rPr>
        <w:t>Metamorphoseon</w:t>
      </w:r>
      <w:r>
        <w:rPr>
          <w:rFonts w:ascii="Times New Roman" w:hAnsi="Times New Roman" w:cs="Times New Roman"/>
          <w:sz w:val="24"/>
          <w:szCs w:val="24"/>
        </w:rPr>
        <w:t xml:space="preserve"> XI,13)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magia nella letteratura latina ( in fotocopia)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MARZIALE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Scheda: Evoluzione e forme dell’epigramma greco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Marziale e la definizione del genere epigrammatico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lingua e lo stile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Marziale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Testi antologici :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 poeta Marziale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L’autodifesa di Marziale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1,4)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Mecenatismo e clientela (scheda)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Marziale e Roma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mondi a confronto: Roma e Bilbili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XII, 18)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Tipi epigrammatci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medico assassino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I, 47)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cacciatori di eredità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I,10; X,8; X, 43) traduzione italiana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brutto sogno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VI,53)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Medico e gladiatore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VIII,74)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Erotion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>, V 34)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poesia che sa di uomo (</w:t>
      </w:r>
      <w:r>
        <w:rPr>
          <w:rFonts w:ascii="Times New Roman" w:hAnsi="Times New Roman" w:cs="Times New Roman"/>
          <w:i/>
          <w:sz w:val="24"/>
          <w:szCs w:val="24"/>
        </w:rPr>
        <w:t>Epigrammi</w:t>
      </w:r>
      <w:r>
        <w:rPr>
          <w:rFonts w:ascii="Times New Roman" w:hAnsi="Times New Roman" w:cs="Times New Roman"/>
          <w:sz w:val="24"/>
          <w:szCs w:val="24"/>
        </w:rPr>
        <w:t xml:space="preserve"> X,4)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QUINTILIANO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L’oratoria: teorie per l’elaborazione del discorso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struttura e le caratteristiche del discorso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e la lingua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fortuna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formazione dell’oratore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 ideale (</w:t>
      </w:r>
      <w:r>
        <w:rPr>
          <w:rFonts w:ascii="Times New Roman" w:hAnsi="Times New Roman" w:cs="Times New Roman"/>
          <w:i/>
          <w:sz w:val="24"/>
          <w:szCs w:val="24"/>
        </w:rPr>
        <w:t>Institutio oratoria</w:t>
      </w:r>
      <w:r>
        <w:rPr>
          <w:rFonts w:ascii="Times New Roman" w:hAnsi="Times New Roman" w:cs="Times New Roman"/>
          <w:sz w:val="24"/>
          <w:szCs w:val="24"/>
        </w:rPr>
        <w:t xml:space="preserve"> II,2,1-13)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pubblica (</w:t>
      </w:r>
      <w:r>
        <w:rPr>
          <w:rFonts w:ascii="Times New Roman" w:hAnsi="Times New Roman" w:cs="Times New Roman"/>
          <w:i/>
          <w:sz w:val="24"/>
          <w:szCs w:val="24"/>
        </w:rPr>
        <w:t>Institutio oratoria</w:t>
      </w:r>
      <w:r>
        <w:rPr>
          <w:rFonts w:ascii="Times New Roman" w:hAnsi="Times New Roman" w:cs="Times New Roman"/>
          <w:sz w:val="24"/>
          <w:szCs w:val="24"/>
        </w:rPr>
        <w:t xml:space="preserve"> I,2,18-22)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Quintiliano e il confronto con i modelli greci e latini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lista di modelli: gli </w:t>
      </w:r>
      <w:r>
        <w:rPr>
          <w:rFonts w:ascii="Times New Roman" w:hAnsi="Times New Roman" w:cs="Times New Roman"/>
          <w:i/>
          <w:sz w:val="24"/>
          <w:szCs w:val="24"/>
        </w:rPr>
        <w:t>auctores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Institutio oratoria</w:t>
      </w:r>
      <w:r>
        <w:rPr>
          <w:rFonts w:ascii="Times New Roman" w:hAnsi="Times New Roman" w:cs="Times New Roman"/>
          <w:sz w:val="24"/>
          <w:szCs w:val="24"/>
        </w:rPr>
        <w:t xml:space="preserve"> X, 1,85-94; 105-115)</w:t>
      </w: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PLINIO IL VECCHIO E LA PROSA SCIENTIFICA</w:t>
      </w: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PLINIO IL VECCHIO E LE SCIENZE NATURALI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opere perdute.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 </w:t>
      </w:r>
      <w:r>
        <w:rPr>
          <w:rFonts w:ascii="Times New Roman" w:hAnsi="Times New Roman" w:cs="Times New Roman"/>
          <w:i/>
          <w:sz w:val="24"/>
          <w:szCs w:val="24"/>
        </w:rPr>
        <w:t>Naturalis historia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 stile e la lingua.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fortuna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Plinio il Vecchio e la storia dell’arte antica (scheda)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L’enciclopedia di Plinio il Vecchio (</w:t>
      </w:r>
      <w:r>
        <w:rPr>
          <w:rFonts w:ascii="Times New Roman" w:hAnsi="Times New Roman" w:cs="Times New Roman"/>
          <w:i/>
          <w:sz w:val="24"/>
          <w:szCs w:val="24"/>
        </w:rPr>
        <w:t>Naturalis historia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Praefatio</w:t>
      </w:r>
      <w:r>
        <w:rPr>
          <w:rFonts w:ascii="Times New Roman" w:hAnsi="Times New Roman" w:cs="Times New Roman"/>
          <w:sz w:val="24"/>
          <w:szCs w:val="24"/>
        </w:rPr>
        <w:t xml:space="preserve"> 12-15)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Lupi e” lupi mannari” (</w:t>
      </w:r>
      <w:r>
        <w:rPr>
          <w:rFonts w:ascii="Times New Roman" w:hAnsi="Times New Roman" w:cs="Times New Roman"/>
          <w:i/>
          <w:sz w:val="24"/>
          <w:szCs w:val="24"/>
        </w:rPr>
        <w:t>Naturalis historia</w:t>
      </w:r>
      <w:r>
        <w:rPr>
          <w:rFonts w:ascii="Times New Roman" w:hAnsi="Times New Roman" w:cs="Times New Roman"/>
          <w:sz w:val="24"/>
          <w:szCs w:val="24"/>
        </w:rPr>
        <w:t xml:space="preserve"> 8,80-84) in fotocopia 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natura matrigna (</w:t>
      </w:r>
      <w:r>
        <w:rPr>
          <w:rFonts w:ascii="Times New Roman" w:hAnsi="Times New Roman" w:cs="Times New Roman"/>
          <w:i/>
          <w:sz w:val="24"/>
          <w:szCs w:val="24"/>
        </w:rPr>
        <w:t>Naturalis historia</w:t>
      </w:r>
      <w:r>
        <w:rPr>
          <w:rFonts w:ascii="Times New Roman" w:hAnsi="Times New Roman" w:cs="Times New Roman"/>
          <w:sz w:val="24"/>
          <w:szCs w:val="24"/>
        </w:rPr>
        <w:t xml:space="preserve"> 7, 1-5)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TACITO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L’opera: l’</w:t>
      </w:r>
      <w:r>
        <w:rPr>
          <w:rFonts w:ascii="Times New Roman" w:hAnsi="Times New Roman" w:cs="Times New Roman"/>
          <w:i/>
          <w:sz w:val="24"/>
          <w:szCs w:val="24"/>
        </w:rPr>
        <w:t>Agricola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i/>
          <w:sz w:val="24"/>
          <w:szCs w:val="24"/>
        </w:rPr>
        <w:t>Germania</w:t>
      </w:r>
      <w:r>
        <w:rPr>
          <w:rFonts w:ascii="Times New Roman" w:hAnsi="Times New Roman" w:cs="Times New Roman"/>
          <w:sz w:val="24"/>
          <w:szCs w:val="24"/>
        </w:rPr>
        <w:t xml:space="preserve">, il </w:t>
      </w:r>
      <w:r>
        <w:rPr>
          <w:rFonts w:ascii="Times New Roman" w:hAnsi="Times New Roman" w:cs="Times New Roman"/>
          <w:i/>
          <w:sz w:val="24"/>
          <w:szCs w:val="24"/>
        </w:rPr>
        <w:t>Dialogus de oratoribus</w:t>
      </w:r>
      <w:r>
        <w:rPr>
          <w:rFonts w:ascii="Times New Roman" w:hAnsi="Times New Roman" w:cs="Times New Roman"/>
          <w:sz w:val="24"/>
          <w:szCs w:val="24"/>
        </w:rPr>
        <w:t xml:space="preserve">, le </w:t>
      </w:r>
      <w:r>
        <w:rPr>
          <w:rFonts w:ascii="Times New Roman" w:hAnsi="Times New Roman" w:cs="Times New Roman"/>
          <w:i/>
          <w:sz w:val="24"/>
          <w:szCs w:val="24"/>
        </w:rPr>
        <w:t>Historiae</w:t>
      </w:r>
      <w:r>
        <w:rPr>
          <w:rFonts w:ascii="Times New Roman" w:hAnsi="Times New Roman" w:cs="Times New Roman"/>
          <w:sz w:val="24"/>
          <w:szCs w:val="24"/>
        </w:rPr>
        <w:t xml:space="preserve">, gli </w:t>
      </w:r>
      <w:r>
        <w:rPr>
          <w:rFonts w:ascii="Times New Roman" w:hAnsi="Times New Roman" w:cs="Times New Roman"/>
          <w:i/>
          <w:sz w:val="24"/>
          <w:szCs w:val="24"/>
        </w:rPr>
        <w:t>Annales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i/>
          <w:sz w:val="24"/>
          <w:szCs w:val="24"/>
        </w:rPr>
        <w:t>Agricola</w:t>
      </w:r>
      <w:r>
        <w:rPr>
          <w:rFonts w:ascii="Times New Roman" w:hAnsi="Times New Roman" w:cs="Times New Roman"/>
          <w:sz w:val="24"/>
          <w:szCs w:val="24"/>
        </w:rPr>
        <w:t xml:space="preserve"> e la biografia greco-romana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di Agricola (scheda)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topica della </w:t>
      </w:r>
      <w:r>
        <w:rPr>
          <w:rFonts w:ascii="Times New Roman" w:hAnsi="Times New Roman" w:cs="Times New Roman"/>
          <w:i/>
          <w:sz w:val="24"/>
          <w:szCs w:val="24"/>
        </w:rPr>
        <w:t>corrupta eloquentia</w:t>
      </w:r>
      <w:r>
        <w:rPr>
          <w:rFonts w:ascii="Times New Roman" w:hAnsi="Times New Roman" w:cs="Times New Roman"/>
          <w:sz w:val="24"/>
          <w:szCs w:val="24"/>
        </w:rPr>
        <w:t xml:space="preserve"> in età imperiale (scheda)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pensiero storiografico del senatore Tacito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metodo storico di Tacito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e la lingua</w:t>
      </w:r>
    </w:p>
    <w:p w:rsidR="002E780D" w:rsidRDefault="002E780D" w:rsidP="002E7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fortuna</w:t>
      </w:r>
    </w:p>
    <w:p w:rsidR="002E780D" w:rsidRDefault="002E780D" w:rsidP="002E780D"/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L’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Agricola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 l’imperialismo romano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proemio (</w:t>
      </w:r>
      <w:r>
        <w:rPr>
          <w:rFonts w:ascii="Times New Roman" w:hAnsi="Times New Roman" w:cs="Times New Roman"/>
          <w:i/>
          <w:sz w:val="24"/>
          <w:szCs w:val="24"/>
        </w:rPr>
        <w:t>Agricola,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discorso di Calgaco ai Britanni (Agricola 30,2-32,2)</w:t>
      </w:r>
    </w:p>
    <w:p w:rsidR="002E780D" w:rsidRDefault="002E780D" w:rsidP="002E780D"/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riflessione sull’imperialismo nella letteratura greca e latina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L’etnografia della Germania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origini dei Germani (</w:t>
      </w:r>
      <w:r>
        <w:rPr>
          <w:rFonts w:ascii="Times New Roman" w:hAnsi="Times New Roman" w:cs="Times New Roman"/>
          <w:i/>
          <w:sz w:val="24"/>
          <w:szCs w:val="24"/>
        </w:rPr>
        <w:t xml:space="preserve">Germania </w:t>
      </w:r>
      <w:r>
        <w:rPr>
          <w:rFonts w:ascii="Times New Roman" w:hAnsi="Times New Roman" w:cs="Times New Roman"/>
          <w:sz w:val="24"/>
          <w:szCs w:val="24"/>
        </w:rPr>
        <w:t>2) soltanto testo in italiano in fotocopia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Religione e usanze (</w:t>
      </w:r>
      <w:r>
        <w:rPr>
          <w:rFonts w:ascii="Times New Roman" w:hAnsi="Times New Roman" w:cs="Times New Roman"/>
          <w:i/>
          <w:sz w:val="24"/>
          <w:szCs w:val="24"/>
        </w:rPr>
        <w:t>Germania</w:t>
      </w:r>
      <w:r>
        <w:rPr>
          <w:rFonts w:ascii="Times New Roman" w:hAnsi="Times New Roman" w:cs="Times New Roman"/>
          <w:sz w:val="24"/>
          <w:szCs w:val="24"/>
        </w:rPr>
        <w:t xml:space="preserve">  9, latino-italiano)</w:t>
      </w:r>
    </w:p>
    <w:p w:rsidR="002E780D" w:rsidRDefault="002E780D" w:rsidP="002E780D">
      <w:pPr>
        <w:pStyle w:val="NoSpacing"/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Dialogus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 il mutamento dei tempi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decadenza dell’oratoria (</w:t>
      </w:r>
      <w:r>
        <w:rPr>
          <w:rFonts w:ascii="Times New Roman" w:hAnsi="Times New Roman" w:cs="Times New Roman"/>
          <w:i/>
          <w:sz w:val="24"/>
          <w:szCs w:val="24"/>
        </w:rPr>
        <w:t>Dialogus de oratoribus</w:t>
      </w:r>
      <w:r>
        <w:rPr>
          <w:rFonts w:ascii="Times New Roman" w:hAnsi="Times New Roman" w:cs="Times New Roman"/>
          <w:sz w:val="24"/>
          <w:szCs w:val="24"/>
        </w:rPr>
        <w:t xml:space="preserve"> 1-3)</w:t>
      </w:r>
    </w:p>
    <w:p w:rsidR="002E780D" w:rsidRDefault="002E780D" w:rsidP="002E780D"/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Ritratti imperiali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fine di Messalina (</w:t>
      </w:r>
      <w:r>
        <w:rPr>
          <w:rFonts w:ascii="Times New Roman" w:hAnsi="Times New Roman" w:cs="Times New Roman"/>
          <w:i/>
          <w:sz w:val="24"/>
          <w:szCs w:val="24"/>
        </w:rPr>
        <w:t xml:space="preserve">Annales </w:t>
      </w:r>
      <w:r>
        <w:rPr>
          <w:rFonts w:ascii="Times New Roman" w:hAnsi="Times New Roman" w:cs="Times New Roman"/>
          <w:sz w:val="24"/>
          <w:szCs w:val="24"/>
        </w:rPr>
        <w:t>XI, 37-38)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tabs>
          <w:tab w:val="left" w:pos="3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80D" w:rsidRDefault="002E780D" w:rsidP="002E7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PERSIO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L’origine del termine satura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Tradizione innovazione nella satira di Persio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Persio e la satira (scheda)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e la lingua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fortuna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GIOVENALE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Giovenale e il genere satirico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satira del “secondo Giovenale”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temi delle Satire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lingua e lo stile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Giovenale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L’indignazione della satira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 inevitabile del genere satirico (</w:t>
      </w:r>
      <w:r>
        <w:rPr>
          <w:rFonts w:ascii="Times New Roman" w:hAnsi="Times New Roman" w:cs="Times New Roman"/>
          <w:i/>
          <w:sz w:val="24"/>
          <w:szCs w:val="24"/>
        </w:rPr>
        <w:t>Satire</w:t>
      </w:r>
      <w:r>
        <w:rPr>
          <w:rFonts w:ascii="Times New Roman" w:hAnsi="Times New Roman" w:cs="Times New Roman"/>
          <w:sz w:val="24"/>
          <w:szCs w:val="24"/>
        </w:rPr>
        <w:t xml:space="preserve"> 1,vv.19-30, 45-47)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una città invivibile (</w:t>
      </w:r>
      <w:r>
        <w:rPr>
          <w:rFonts w:ascii="Times New Roman" w:hAnsi="Times New Roman" w:cs="Times New Roman"/>
          <w:i/>
          <w:sz w:val="24"/>
          <w:szCs w:val="24"/>
        </w:rPr>
        <w:t>Satire</w:t>
      </w:r>
      <w:r>
        <w:rPr>
          <w:rFonts w:ascii="Times New Roman" w:hAnsi="Times New Roman" w:cs="Times New Roman"/>
          <w:sz w:val="24"/>
          <w:szCs w:val="24"/>
        </w:rPr>
        <w:t xml:space="preserve"> III, vv.21-100)</w:t>
      </w:r>
    </w:p>
    <w:p w:rsidR="002E780D" w:rsidRDefault="002E780D" w:rsidP="002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satira contro le donne (</w:t>
      </w:r>
      <w:r>
        <w:rPr>
          <w:rFonts w:ascii="Times New Roman" w:hAnsi="Times New Roman" w:cs="Times New Roman"/>
          <w:i/>
          <w:sz w:val="24"/>
          <w:szCs w:val="24"/>
        </w:rPr>
        <w:t>Satire</w:t>
      </w:r>
      <w:r>
        <w:rPr>
          <w:rFonts w:ascii="Times New Roman" w:hAnsi="Times New Roman" w:cs="Times New Roman"/>
          <w:sz w:val="24"/>
          <w:szCs w:val="24"/>
        </w:rPr>
        <w:t xml:space="preserve"> VI, vv.82-124)</w:t>
      </w:r>
    </w:p>
    <w:p w:rsidR="002E780D" w:rsidRDefault="002E780D" w:rsidP="002E780D"/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Ladispoli,15/05/2019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                                                                 Gli alunni</w:t>
      </w:r>
    </w:p>
    <w:p w:rsidR="002E780D" w:rsidRDefault="002E780D" w:rsidP="002E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Bonacci</w:t>
      </w:r>
    </w:p>
    <w:p w:rsidR="002E780D" w:rsidRDefault="002E780D" w:rsidP="002E780D">
      <w:pPr>
        <w:pStyle w:val="PlainText"/>
        <w:rPr>
          <w:rFonts w:ascii="Times New Roman" w:hAnsi="Times New Roman"/>
          <w:sz w:val="24"/>
          <w:szCs w:val="24"/>
        </w:rPr>
      </w:pPr>
    </w:p>
    <w:p w:rsidR="002E780D" w:rsidRDefault="002E780D" w:rsidP="002E780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2E780D" w:rsidRDefault="002E780D" w:rsidP="002E780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2E780D" w:rsidRDefault="002E780D" w:rsidP="002E780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2E780D" w:rsidRDefault="002E780D" w:rsidP="002E780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2E780D" w:rsidRDefault="002E780D" w:rsidP="002E780D">
      <w:pPr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25652" w:rsidRDefault="00E25652"/>
    <w:sectPr w:rsidR="00E25652" w:rsidSect="00E25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7A" w:rsidRDefault="00A96E7A" w:rsidP="007808C3">
      <w:pPr>
        <w:spacing w:after="0" w:line="240" w:lineRule="auto"/>
      </w:pPr>
      <w:r>
        <w:separator/>
      </w:r>
    </w:p>
  </w:endnote>
  <w:endnote w:type="continuationSeparator" w:id="1">
    <w:p w:rsidR="00A96E7A" w:rsidRDefault="00A96E7A" w:rsidP="0078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C3" w:rsidRDefault="00780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35719"/>
      <w:docPartObj>
        <w:docPartGallery w:val="Page Numbers (Bottom of Page)"/>
        <w:docPartUnique/>
      </w:docPartObj>
    </w:sdtPr>
    <w:sdtContent>
      <w:p w:rsidR="007808C3" w:rsidRDefault="007808C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808C3" w:rsidRDefault="007808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C3" w:rsidRDefault="00780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7A" w:rsidRDefault="00A96E7A" w:rsidP="007808C3">
      <w:pPr>
        <w:spacing w:after="0" w:line="240" w:lineRule="auto"/>
      </w:pPr>
      <w:r>
        <w:separator/>
      </w:r>
    </w:p>
  </w:footnote>
  <w:footnote w:type="continuationSeparator" w:id="1">
    <w:p w:rsidR="00A96E7A" w:rsidRDefault="00A96E7A" w:rsidP="0078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C3" w:rsidRDefault="00780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C3" w:rsidRDefault="007808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C3" w:rsidRDefault="00780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80D"/>
    <w:rsid w:val="002E780D"/>
    <w:rsid w:val="007808C3"/>
    <w:rsid w:val="00A96E7A"/>
    <w:rsid w:val="00C27D91"/>
    <w:rsid w:val="00E2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0D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aliases w:val="Carattere Char"/>
    <w:basedOn w:val="DefaultParagraphFont"/>
    <w:link w:val="PlainText"/>
    <w:semiHidden/>
    <w:locked/>
    <w:rsid w:val="002E780D"/>
    <w:rPr>
      <w:rFonts w:ascii="Courier New" w:hAnsi="Courier New" w:cs="Courier New"/>
    </w:rPr>
  </w:style>
  <w:style w:type="paragraph" w:styleId="PlainText">
    <w:name w:val="Plain Text"/>
    <w:aliases w:val="Carattere"/>
    <w:basedOn w:val="Normal"/>
    <w:link w:val="PlainTextChar"/>
    <w:semiHidden/>
    <w:unhideWhenUsed/>
    <w:rsid w:val="002E780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E780D"/>
    <w:rPr>
      <w:rFonts w:ascii="Consolas" w:eastAsiaTheme="minorEastAsia" w:hAnsi="Consolas"/>
      <w:sz w:val="21"/>
      <w:szCs w:val="21"/>
      <w:lang w:eastAsia="it-IT"/>
    </w:rPr>
  </w:style>
  <w:style w:type="paragraph" w:styleId="NoSpacing">
    <w:name w:val="No Spacing"/>
    <w:uiPriority w:val="1"/>
    <w:qFormat/>
    <w:rsid w:val="002E780D"/>
    <w:pPr>
      <w:spacing w:after="0" w:line="240" w:lineRule="auto"/>
    </w:pPr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78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8C3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8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C3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4586</Characters>
  <Application>Microsoft Office Word</Application>
  <DocSecurity>0</DocSecurity>
  <Lines>38</Lines>
  <Paragraphs>10</Paragraphs>
  <ScaleCrop>false</ScaleCrop>
  <Company>HP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2019-05-28T21:09:00Z</dcterms:created>
  <dcterms:modified xsi:type="dcterms:W3CDTF">2019-05-28T21:12:00Z</dcterms:modified>
</cp:coreProperties>
</file>